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Analiza kretanja broja učenika osnovnih škola i broja upisanih u 1. razred osnovne škole za opštinu Tutin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Obrazovni sistem, posebno osnovno obrazovanje, predstavlja ključni segment razvoja svakog društva i jedan od najvažnijih pokazatelja demografske i socio-ekonomske stabilnosti. Praćenje broja učenika osnovnih škola i učenika 1. razreda u lokalnim zajednicam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 pruža uvid u stanje nataliteta, migracionih tokova i održivosti lokalne populacije. Takođe, omogućava prepoznavanje obrazovnih trendova i izazova s kojima se suočava opština Tutin.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analiza fokusira se na dugoročne promene broja učenika osnovnih škola i učenika 1. razreda u Tutinu. Kroz uporedne i bazične indekse, identifikovani su ključni trendovi i dinamičke promene u poslednjoj deceniji. Poseban akcenat stavljen je na projekcij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 za 2031. i 2041. godinu, kako bi se bolje sagledale buduće potrebe obrazovnog sistema i definisale mere za unapređenje demografske i obrazovne stabilnosti.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 Tutin, kao opštinu sa specifičnom demografskom i kulturnom strukturom, analiza broja učenika pruža i dodatne uvide u šire društvene tokove, uključujući uticaj nataliteta, migracija i regionalnog razvoja na obrazovanje. Ova analiza ne služi samo za ident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ifikaciju izazova, već i za prepoznavanje mogućnosti za unapređenje obrazovnog sistema i bolje planiranje lokalne politike razvoja.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Tabela sa vrednostima po godinama za Tutin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60"/>
        <w:gridCol w:w="2190"/>
        <w:gridCol w:w="243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Školska 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559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4.352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4.343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4.255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513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4.099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3.985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3.918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3.751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459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43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383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Komentari na tabelu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1. Ukupan broj učenika (2014/15–2023/24):</w:t>
      </w:r>
      <w:r/>
      <w:r/>
    </w:p>
    <w:p>
      <w:pPr>
        <w:pStyle w:val="605"/>
        <w:numPr>
          <w:ilvl w:val="0"/>
          <w:numId w:val="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opao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4.371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3.511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smanjenje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860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19,68%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periodu od 9 godina.</w:t>
      </w:r>
      <w:r/>
      <w:r/>
    </w:p>
    <w:p>
      <w:pPr>
        <w:pStyle w:val="605"/>
        <w:numPr>
          <w:ilvl w:val="0"/>
          <w:numId w:val="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je kontinuiran, sa povremenim oscilacijama. Najveći broj učenika zabeležen je u početnoj godini (2014/15), dok je najniži broj zabeležen u 2023/24.</w:t>
      </w:r>
      <w:r/>
      <w:r/>
    </w:p>
    <w:p>
      <w:p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right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342104" cy="2684868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53920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4342104" cy="26848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41.9pt;height:211.4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 Broj učenika 1. razreda (2014/15–2023/24):</w:t>
      </w:r>
      <w:r/>
      <w:r/>
    </w:p>
    <w:p>
      <w:pPr>
        <w:pStyle w:val="605"/>
        <w:numPr>
          <w:ilvl w:val="0"/>
          <w:numId w:val="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učenika 1. razreda opao je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559 (2014/15)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383 (2023/24)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predstavlja pad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31,47%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ili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176 učenika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Najveći broj učenika 1. razreda zabeležen je u 2017/18 (561), dok je najniži broj zabeležen u 2023/24 (383).</w:t>
      </w:r>
      <w:r/>
      <w:r/>
    </w:p>
    <w:p>
      <w:pPr>
        <w:pStyle w:val="605"/>
        <w:numPr>
          <w:ilvl w:val="0"/>
          <w:numId w:val="5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prvaka je znatno brži od pada ukupnog broja učenika, što ukazuje na izraženiji uticaj demografskih i migracionih faktora.</w:t>
      </w:r>
      <w:r/>
      <w:r/>
    </w:p>
    <w:p>
      <w:pPr>
        <w:ind w:right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423779" cy="2735370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40592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423777" cy="2735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48.3pt;height:215.4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 Oscilacije i trendovi:</w:t>
      </w:r>
      <w:r/>
      <w:r/>
    </w:p>
    <w:p>
      <w:pPr>
        <w:pStyle w:val="605"/>
        <w:numPr>
          <w:ilvl w:val="0"/>
          <w:numId w:val="6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Stagnacija u periodu 2014/15–2017/18: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ukupnih učenika i prvaka bio je relativno stabilan, uz blage oscilacije.</w:t>
      </w:r>
      <w:r/>
      <w:r/>
    </w:p>
    <w:p>
      <w:pPr>
        <w:pStyle w:val="605"/>
        <w:numPr>
          <w:ilvl w:val="0"/>
          <w:numId w:val="7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Značajan pad nakon 2018/19: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Broj učenika počinje da opada značajnijim tempom, što se može povezati sa migracijama i smanjenjem nataliteta.</w:t>
      </w:r>
      <w:r/>
      <w:r/>
    </w:p>
    <w:p>
      <w:pPr>
        <w:pStyle w:val="605"/>
        <w:numPr>
          <w:ilvl w:val="0"/>
          <w:numId w:val="8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Razlika u trendovima ukupnih učenika i prvaka: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Brži pad broja prvaka ukazuje na budući negativan uticaj na obrazovni sistem.</w:t>
      </w:r>
      <w:r/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Bazični indeksi (bazna godina: 2014/15)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Bazični indeks = (Vrednost u datoj godini / Vrednost u 2014/15) × 100</w:t>
      </w:r>
      <w:r/>
      <w:r/>
    </w:p>
    <w:tbl>
      <w:tblPr>
        <w:tblStyle w:val="48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12"/>
        <w:gridCol w:w="1686"/>
        <w:gridCol w:w="2529"/>
        <w:gridCol w:w="1871"/>
        <w:gridCol w:w="2656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Godina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ukupnih učenika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Broj učenika 1. razreda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Bazični indeks učenika 1. razreda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2014/15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4.371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100,00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2015/16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4.352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99,57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550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98,39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2016/17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98,63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528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94,45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2017/18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4.343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99,36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561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100,36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2018/19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4.255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97,34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91,78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2019/20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4.099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93,77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510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91,24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2020/21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3.985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91,17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450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80,50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2021/22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3.918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89,64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468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83,72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2022/23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3.751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85,84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459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82,11</w:t>
            </w: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1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2023/24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3.511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2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80,32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7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383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656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68,52</w:t>
            </w:r>
            <w:r/>
            <w:r/>
          </w:p>
        </w:tc>
      </w:tr>
    </w:tbl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Projekcije za 2031. i 2041. godinu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ukupnog broja učenika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ukupnog broja učenika (2014/15–2023/24):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Godišnji pad (%) = -2,19% godišnje na osnovu vremenskog niza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(2014/15–2023/24)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2031 ≈ 3.084,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 broj učenika 2041 ≈ 2.558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Projekcija broja učenika 1. razreda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Prosečan godišnji pad broja učenika 1. razreda (2014/15–2023/24):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Godišnji pad (%) = -3,51%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godišnje na osnovu vremenskog niza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(2014/15–2023/24)</w:t>
      </w:r>
      <w:r/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Projekcija:</w:t>
      </w:r>
      <w:r/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2031 ≈ 300,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 učenika 1. razreda 2041 ≈ 221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17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Zaključci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A) Kretanje broja učenika (2014/15–2023/24):</w:t>
      </w:r>
      <w:r/>
      <w:r/>
    </w:p>
    <w:p>
      <w:pPr>
        <w:pStyle w:val="605"/>
        <w:numPr>
          <w:ilvl w:val="0"/>
          <w:numId w:val="9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Ukupan broj učenika opao je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19,68%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broj učenika 1. razreda opao za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31,47%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10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Pad broja prvaka je brži, što ukazuje na dugoročnu ugroženost obrazovnog sistema.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B) Projekcije za 2031. i 2041. godinu:</w:t>
      </w:r>
      <w:r/>
      <w:r/>
    </w:p>
    <w:p>
      <w:pPr>
        <w:pStyle w:val="605"/>
        <w:numPr>
          <w:ilvl w:val="0"/>
          <w:numId w:val="11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Ukupan broj učenika: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Očekuje se pad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3.084 do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2.558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605"/>
        <w:numPr>
          <w:ilvl w:val="0"/>
          <w:numId w:val="12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Broj učenika 1. razreda: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Predviđa se smanjenje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300 učenika do 2031.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221 do 2041. godine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C) Ključni izazovi i preporuke:</w:t>
      </w:r>
      <w:r/>
      <w:r/>
    </w:p>
    <w:p>
      <w:pPr>
        <w:pStyle w:val="605"/>
        <w:numPr>
          <w:ilvl w:val="0"/>
          <w:numId w:val="13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Migracije i natalitet: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Glavni izazovi uključuju smanjenje nataliteta i migracije porodica sa decom.</w:t>
      </w:r>
      <w:r/>
      <w:r/>
    </w:p>
    <w:p>
      <w:pPr>
        <w:pStyle w:val="605"/>
        <w:numPr>
          <w:ilvl w:val="0"/>
          <w:numId w:val="14"/>
        </w:numPr>
        <w:ind w:right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porodicama: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Potrebno je pružiti podršku porodicama kroz lokalne razvojne inicijative i obrazovne programe.</w:t>
      </w:r>
      <w:r/>
      <w:r/>
    </w:p>
    <w:p>
      <w:pPr>
        <w:pStyle w:val="19"/>
        <w:ind w:left="0" w:right="0" w:firstLine="0"/>
        <w:jc w:val="both"/>
        <w:spacing w:before="319" w:after="3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D) Opšti zaključak:</w:t>
      </w:r>
      <w:r/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Tutin beleži izražen pad broja učenika, posebno prvaka, što ukazuje na ozbiljne demografske i socio-ekonomske izazove. Ukoliko se trenutni trendovi nastave, obrazovni sistem će se suočiti sa potrebom za značajnim prilagođavanjima u narednim decenijama.</w:t>
      </w:r>
      <w:r/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8877546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2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844991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  <w:r/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2025-01-09T14:39:17Z</dcterms:modified>
</cp:coreProperties>
</file>